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2BEFB47A" w:rsidR="00547078" w:rsidRPr="00922AF5" w:rsidRDefault="00410FCD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06D6B35A">
            <wp:simplePos x="0" y="0"/>
            <wp:positionH relativeFrom="page">
              <wp:posOffset>459105</wp:posOffset>
            </wp:positionH>
            <wp:positionV relativeFrom="page">
              <wp:posOffset>455295</wp:posOffset>
            </wp:positionV>
            <wp:extent cx="960136" cy="13652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36" cy="136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58"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25EB6724">
            <wp:simplePos x="0" y="0"/>
            <wp:positionH relativeFrom="margin">
              <wp:posOffset>2254885</wp:posOffset>
            </wp:positionH>
            <wp:positionV relativeFrom="margin">
              <wp:posOffset>1369060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6F853FF6" w:rsidR="00922AF5" w:rsidRDefault="00410FCD" w:rsidP="00E62472">
      <w:pPr>
        <w:tabs>
          <w:tab w:val="right" w:pos="9921"/>
        </w:tabs>
        <w:spacing w:after="480"/>
        <w:jc w:val="right"/>
        <w:rPr>
          <w:rFonts w:ascii="Marianne" w:hAnsi="Marianne" w:cs="Arial"/>
          <w:sz w:val="22"/>
          <w:szCs w:val="22"/>
        </w:rPr>
      </w:pPr>
      <w:r>
        <w:rPr>
          <w:rFonts w:ascii="Marianne" w:hAnsi="Marianne"/>
          <w:sz w:val="22"/>
          <w:szCs w:val="22"/>
        </w:rPr>
        <w:t>Chartres</w:t>
      </w:r>
      <w:r w:rsidR="00547078" w:rsidRPr="00922AF5">
        <w:rPr>
          <w:rFonts w:ascii="Marianne" w:hAnsi="Marianne"/>
          <w:sz w:val="22"/>
          <w:szCs w:val="22"/>
        </w:rPr>
        <w:t xml:space="preserve">, le </w:t>
      </w:r>
      <w:r w:rsidR="00547078" w:rsidRPr="00922AF5">
        <w:rPr>
          <w:rFonts w:ascii="Marianne" w:hAnsi="Marianne" w:cs="Arial"/>
          <w:sz w:val="22"/>
          <w:szCs w:val="22"/>
        </w:rPr>
        <w:fldChar w:fldCharType="begin"/>
      </w:r>
      <w:r w:rsidR="00547078"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="00547078" w:rsidRPr="00922AF5">
        <w:rPr>
          <w:rFonts w:ascii="Marianne" w:hAnsi="Marianne" w:cs="Arial"/>
          <w:sz w:val="22"/>
          <w:szCs w:val="22"/>
        </w:rPr>
        <w:fldChar w:fldCharType="separate"/>
      </w:r>
      <w:r w:rsidR="000E7E4F">
        <w:rPr>
          <w:rFonts w:ascii="Marianne" w:hAnsi="Marianne" w:cs="Arial"/>
          <w:noProof/>
          <w:sz w:val="22"/>
          <w:szCs w:val="22"/>
        </w:rPr>
        <w:t>23 avril 2025</w:t>
      </w:r>
      <w:r w:rsidR="00547078" w:rsidRPr="00922AF5">
        <w:rPr>
          <w:rFonts w:ascii="Marianne" w:hAnsi="Marianne" w:cs="Arial"/>
          <w:sz w:val="22"/>
          <w:szCs w:val="22"/>
        </w:rPr>
        <w:fldChar w:fldCharType="end"/>
      </w:r>
    </w:p>
    <w:p w14:paraId="3D8A68A0" w14:textId="642D2A62" w:rsidR="008D76CB" w:rsidRPr="00330D14" w:rsidRDefault="00330D14" w:rsidP="008D76CB">
      <w:pPr>
        <w:pStyle w:val="NormalWeb"/>
        <w:rPr>
          <w:rFonts w:ascii="Marianne" w:hAnsi="Marianne"/>
          <w:b/>
          <w:bCs/>
          <w:sz w:val="28"/>
          <w:szCs w:val="28"/>
        </w:rPr>
      </w:pPr>
      <w:bookmarkStart w:id="0" w:name="_Hlk196214185"/>
      <w:r>
        <w:rPr>
          <w:rFonts w:ascii="Marianne" w:hAnsi="Marianne"/>
          <w:b/>
          <w:bCs/>
          <w:sz w:val="28"/>
          <w:szCs w:val="28"/>
        </w:rPr>
        <w:t>Sécurité routière dans l</w:t>
      </w:r>
      <w:r w:rsidR="006F13BD">
        <w:rPr>
          <w:rFonts w:ascii="Marianne" w:hAnsi="Marianne"/>
          <w:b/>
          <w:bCs/>
          <w:sz w:val="28"/>
          <w:szCs w:val="28"/>
        </w:rPr>
        <w:t>’Eure-et-Loir</w:t>
      </w:r>
      <w:r>
        <w:rPr>
          <w:rFonts w:ascii="Marianne" w:hAnsi="Marianne"/>
          <w:b/>
          <w:bCs/>
          <w:sz w:val="28"/>
          <w:szCs w:val="28"/>
        </w:rPr>
        <w:t xml:space="preserve"> : le contrôle technique deux-roues justifie son existence après un an de mise en </w:t>
      </w:r>
      <w:r w:rsidR="000E7E4F">
        <w:rPr>
          <w:rFonts w:ascii="Marianne" w:hAnsi="Marianne"/>
          <w:b/>
          <w:bCs/>
          <w:sz w:val="28"/>
          <w:szCs w:val="28"/>
        </w:rPr>
        <w:t>œuvre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8D76CB" w:rsidRPr="00672AEF" w14:paraId="43EA7264" w14:textId="77777777" w:rsidTr="00F72B55">
        <w:tc>
          <w:tcPr>
            <w:tcW w:w="5240" w:type="dxa"/>
            <w:hideMark/>
          </w:tcPr>
          <w:p w14:paraId="01DCA542" w14:textId="77777777" w:rsidR="008D76CB" w:rsidRDefault="008D76CB" w:rsidP="00F72B55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08BC945F" w14:textId="18C5A82F" w:rsidR="008D76CB" w:rsidRPr="00550577" w:rsidRDefault="008D76CB" w:rsidP="00F72B55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Un an après son </w:t>
            </w:r>
            <w:r w:rsidR="003930D6" w:rsidRPr="00550577">
              <w:rPr>
                <w:rFonts w:ascii="Marianne" w:hAnsi="Marianne"/>
                <w:b/>
                <w:bCs/>
                <w:sz w:val="22"/>
                <w:szCs w:val="22"/>
              </w:rPr>
              <w:t>lancement</w:t>
            </w:r>
            <w:r w:rsidR="003930D6">
              <w:rPr>
                <w:rFonts w:ascii="Marianne" w:hAnsi="Marianne"/>
                <w:b/>
                <w:bCs/>
                <w:sz w:val="22"/>
                <w:szCs w:val="22"/>
              </w:rPr>
              <w:t>, Hervé</w:t>
            </w:r>
            <w:r w:rsidRPr="00BA612D">
              <w:rPr>
                <w:rFonts w:ascii="Marianne" w:hAnsi="Marianne"/>
                <w:b/>
                <w:bCs/>
                <w:sz w:val="22"/>
                <w:szCs w:val="22"/>
              </w:rPr>
              <w:t xml:space="preserve"> JONATHAN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, préfet d’Eure-et-Loir, </w:t>
            </w: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présente le bilan du contrôle technique des véhicules dit « deux roues » (cyclomoteurs, motos, scooters, tricycles à moteur et quadricycles). </w:t>
            </w:r>
          </w:p>
          <w:p w14:paraId="4594A741" w14:textId="77777777" w:rsidR="008D76CB" w:rsidRPr="00A0370C" w:rsidRDefault="008D76CB" w:rsidP="00F72B55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72E12F8F" w14:textId="77777777" w:rsidR="008D76CB" w:rsidRPr="00672AEF" w:rsidRDefault="008D76CB" w:rsidP="00F72B55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>
              <w:rPr>
                <w:noProof/>
              </w:rPr>
              <w:drawing>
                <wp:inline distT="0" distB="0" distL="0" distR="0" wp14:anchorId="0B2FE4EE" wp14:editId="476E2E91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34078" w14:textId="77777777" w:rsidR="008D76CB" w:rsidRPr="00550577" w:rsidRDefault="008D76CB" w:rsidP="008D76CB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0D3D02C7" w14:textId="77777777" w:rsidR="008D76CB" w:rsidRPr="00550577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78A05532" w14:textId="18F1F16F" w:rsidR="008D76CB" w:rsidRPr="003930D6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Au 15 avril 2025, la région Centre-Val de Loire 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compte 18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contrôleurs agréés pour le contrôle technique des véhicules « deux roues », assurant ainsi un maillage territorial suffisant pour répondre aux besoins des usagers. L’Eure-et-Loir compte 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25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</w:t>
      </w:r>
      <w:r w:rsidR="003D05BF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et 32 contrôleurs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Le site de l’Organisme Technique Central du contrôle technique des véhicules permet d’identifier par département les centres proposant du contrôle technique « deux roues » (</w:t>
      </w:r>
      <w:hyperlink r:id="rId10" w:history="1">
        <w:r w:rsidRPr="003930D6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39F15540" w14:textId="77777777" w:rsidR="008D76CB" w:rsidRPr="003930D6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3930D6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7A605C47" w14:textId="0433F314" w:rsidR="008D76CB" w:rsidRPr="00550577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6 513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contrôles techniques de véhicules « deux roues » ont été réalisés dans l’Eure-et-Loir. Plus de 4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6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2618EA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(42 % au niveau régional)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, dont 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près de 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1</w:t>
      </w:r>
      <w:r w:rsidR="003930D6"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3930D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une défaillance majeure ou critique (entraînant une contre-visite).</w:t>
      </w:r>
    </w:p>
    <w:p w14:paraId="5DC0FC70" w14:textId="77777777" w:rsidR="008D76CB" w:rsidRPr="00550577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relevées, entraînant une contre-visite, concernent :</w:t>
      </w:r>
    </w:p>
    <w:p w14:paraId="4FA13D36" w14:textId="77777777" w:rsidR="008D76CB" w:rsidRPr="00550577" w:rsidRDefault="008D76CB" w:rsidP="008D76CB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 usure excessive des garnitures ou plaquettes de frein, ou leur absence ou mauvais montage,</w:t>
      </w:r>
    </w:p>
    <w:p w14:paraId="77B6295D" w14:textId="77777777" w:rsidR="008D76CB" w:rsidRPr="00550577" w:rsidRDefault="008D76CB" w:rsidP="008D76CB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pneumatiques usés, endommagés, entaillés, ou montage ou réparation inadaptés,</w:t>
      </w:r>
    </w:p>
    <w:p w14:paraId="225DD271" w14:textId="77777777" w:rsidR="008D76CB" w:rsidRPr="00550577" w:rsidRDefault="008D76CB" w:rsidP="008D76CB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disques ou tambours de frein excessivement usés, rayés, fissurés, cassés ou absents,</w:t>
      </w:r>
    </w:p>
    <w:p w14:paraId="045F040F" w14:textId="77777777" w:rsidR="008D76CB" w:rsidRPr="00550577" w:rsidRDefault="008D76CB" w:rsidP="008D76CB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émissions de polluants dépassant les limites applicables,</w:t>
      </w:r>
    </w:p>
    <w:p w14:paraId="4C2B601B" w14:textId="77777777" w:rsidR="008D76CB" w:rsidRPr="00550577" w:rsidRDefault="008D76CB" w:rsidP="008D76CB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amortisseurs endommagés, mal fixés ou présentant des signes de fuite ou de dysfonctionnement grave,</w:t>
      </w:r>
    </w:p>
    <w:p w14:paraId="3712CF8A" w14:textId="77777777" w:rsidR="008D76CB" w:rsidRPr="00550577" w:rsidRDefault="008D76CB" w:rsidP="008D76CB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feux stop défaillants,</w:t>
      </w:r>
    </w:p>
    <w:p w14:paraId="67B0B1E7" w14:textId="77777777" w:rsidR="008D76CB" w:rsidRPr="00550577" w:rsidRDefault="008D76CB" w:rsidP="008D76CB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éléments de carrosserie ou carénages endommagés ou mal fixés,</w:t>
      </w:r>
    </w:p>
    <w:p w14:paraId="00A5E3C8" w14:textId="77777777" w:rsidR="008D76CB" w:rsidRPr="00550577" w:rsidRDefault="008D76CB" w:rsidP="008D76CB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indicateurs de direction défaillants.</w:t>
      </w:r>
    </w:p>
    <w:p w14:paraId="7720229B" w14:textId="77777777" w:rsidR="008D76CB" w:rsidRPr="00550577" w:rsidRDefault="008D76CB" w:rsidP="008D76CB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26DC81EF" w14:textId="77777777" w:rsidR="008D76CB" w:rsidRPr="00550577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747162F2" w14:textId="04B883AB" w:rsidR="008D76CB" w:rsidRPr="00550577" w:rsidRDefault="008D76CB" w:rsidP="008D76CB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 préfet d’Eure-et-Loir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bookmarkEnd w:id="0"/>
    <w:p w14:paraId="3CEDD5CD" w14:textId="77777777" w:rsidR="008D76CB" w:rsidRPr="00550577" w:rsidRDefault="008D76CB" w:rsidP="008D76CB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2CD3B9BB" w14:textId="77777777" w:rsidR="008D76CB" w:rsidRPr="00922AF5" w:rsidRDefault="008D76CB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</w:p>
    <w:sectPr w:rsidR="008D76CB" w:rsidRPr="00922AF5" w:rsidSect="00922AF5">
      <w:footerReference w:type="default" r:id="rId11"/>
      <w:footerReference w:type="first" r:id="rId12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082A074B" w14:textId="78AE5ED4" w:rsidR="00410FCD" w:rsidRPr="00922AF5" w:rsidRDefault="00410FCD" w:rsidP="00410FC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d’EURE-ET-LOIR</w:t>
          </w:r>
        </w:p>
        <w:p w14:paraId="4F667ABF" w14:textId="77777777" w:rsidR="00410FCD" w:rsidRPr="00922AF5" w:rsidRDefault="00410FCD" w:rsidP="00410FC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297FDB90" w14:textId="77777777" w:rsidR="00410FCD" w:rsidRPr="00922AF5" w:rsidRDefault="00410FCD" w:rsidP="00410FC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xx </w:t>
          </w:r>
          <w:proofErr w:type="spellStart"/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proofErr w:type="spellStart"/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proofErr w:type="spellStart"/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xx</w:t>
          </w:r>
          <w:proofErr w:type="spellEnd"/>
        </w:p>
        <w:p w14:paraId="4C82ACC7" w14:textId="2916E58D" w:rsidR="00062781" w:rsidRPr="00922AF5" w:rsidRDefault="00410FCD" w:rsidP="00410FC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Adresse de messagerie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62781"/>
    <w:rsid w:val="000E7E4F"/>
    <w:rsid w:val="0012158D"/>
    <w:rsid w:val="00193E63"/>
    <w:rsid w:val="002618EA"/>
    <w:rsid w:val="00330D14"/>
    <w:rsid w:val="003930D6"/>
    <w:rsid w:val="003D05BF"/>
    <w:rsid w:val="00410FCD"/>
    <w:rsid w:val="00471E8D"/>
    <w:rsid w:val="00543FA8"/>
    <w:rsid w:val="00547078"/>
    <w:rsid w:val="00562913"/>
    <w:rsid w:val="00587991"/>
    <w:rsid w:val="00607762"/>
    <w:rsid w:val="0066218E"/>
    <w:rsid w:val="0069580E"/>
    <w:rsid w:val="006F13BD"/>
    <w:rsid w:val="00862358"/>
    <w:rsid w:val="008D76CB"/>
    <w:rsid w:val="008F0083"/>
    <w:rsid w:val="00922AF5"/>
    <w:rsid w:val="00B72575"/>
    <w:rsid w:val="00BA612D"/>
    <w:rsid w:val="00C735D0"/>
    <w:rsid w:val="00D17660"/>
    <w:rsid w:val="00D2616D"/>
    <w:rsid w:val="00D63D89"/>
    <w:rsid w:val="00E52CDD"/>
    <w:rsid w:val="00E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BA61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BA612D"/>
  </w:style>
  <w:style w:type="character" w:styleId="lev">
    <w:name w:val="Strong"/>
    <w:basedOn w:val="Policepardfaut"/>
    <w:uiPriority w:val="22"/>
    <w:qFormat/>
    <w:rsid w:val="008D7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11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12</cp:revision>
  <cp:lastPrinted>1899-12-31T23:00:00Z</cp:lastPrinted>
  <dcterms:created xsi:type="dcterms:W3CDTF">2025-04-11T14:07:00Z</dcterms:created>
  <dcterms:modified xsi:type="dcterms:W3CDTF">2025-04-23T15:22:00Z</dcterms:modified>
</cp:coreProperties>
</file>